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spacing w:line="360" w:lineRule="auto"/>
        <w:jc w:val="cente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tl w:val="0"/>
          <w:lang w:val="en-US"/>
        </w:rPr>
        <w:t>Controlling Ventilation Rates at University Research Laboratories</w:t>
      </w:r>
    </w:p>
    <w:p>
      <w:pPr>
        <w:pStyle w:val="6"/>
        <w:framePr w:w="0" w:hRule="auto" w:wrap="auto" w:vAnchor="margin" w:hAnchor="text" w:yAlign="inline"/>
        <w:spacing w:line="360" w:lineRule="auto"/>
        <w:jc w:val="cente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tl w:val="0"/>
          <w:lang w:val="en-US"/>
        </w:rPr>
        <w:t>Laboratories are over-ventilated about 99 percent of the time</w:t>
      </w:r>
    </w:p>
    <w:p>
      <w:pPr>
        <w:pStyle w:val="8"/>
        <w:framePr w:w="0" w:hRule="auto" w:wrap="auto" w:vAnchor="margin" w:hAnchor="text" w:yAlign="inline"/>
        <w:bidi w:val="0"/>
        <w:spacing w:line="400" w:lineRule="atLeast"/>
        <w:ind w:left="0" w:right="0" w:firstLine="0"/>
        <w:jc w:val="center"/>
        <w:rPr>
          <w:rFonts w:hint="eastAsia" w:ascii="微软雅黑" w:hAnsi="微软雅黑" w:eastAsia="微软雅黑" w:cs="微软雅黑"/>
          <w:color w:val="333333"/>
          <w:sz w:val="18"/>
          <w:szCs w:val="18"/>
          <w:shd w:val="clear" w:color="auto" w:fill="FFFFFF"/>
          <w:rtl w:val="0"/>
        </w:rPr>
      </w:pPr>
      <w:r>
        <w:rPr>
          <w:rFonts w:hint="eastAsia" w:ascii="微软雅黑" w:hAnsi="微软雅黑" w:eastAsia="微软雅黑" w:cs="微软雅黑"/>
          <w:color w:val="333333"/>
          <w:sz w:val="18"/>
          <w:szCs w:val="18"/>
          <w:shd w:val="clear" w:color="auto" w:fill="FFFFFF"/>
          <w:rtl w:val="0"/>
        </w:rPr>
        <w:drawing>
          <wp:inline distT="0" distB="0" distL="0" distR="0">
            <wp:extent cx="6119495" cy="4077970"/>
            <wp:effectExtent l="0" t="0" r="0" b="0"/>
            <wp:docPr id="107374182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6"/>
                    <a:stretch>
                      <a:fillRect/>
                    </a:stretch>
                  </pic:blipFill>
                  <pic:spPr>
                    <a:xfrm>
                      <a:off x="0" y="0"/>
                      <a:ext cx="6120057" cy="4078444"/>
                    </a:xfrm>
                    <a:prstGeom prst="rect">
                      <a:avLst/>
                    </a:prstGeom>
                    <a:ln w="12700" cap="flat">
                      <a:noFill/>
                      <a:miter lim="400000"/>
                      <a:headEnd/>
                      <a:tailEnd/>
                    </a:ln>
                    <a:effectLst/>
                  </pic:spPr>
                </pic:pic>
              </a:graphicData>
            </a:graphic>
          </wp:inline>
        </w:drawing>
      </w:r>
    </w:p>
    <w:p>
      <w:pPr>
        <w:pStyle w:val="8"/>
        <w:framePr w:w="0" w:hRule="auto" w:wrap="auto" w:vAnchor="margin" w:hAnchor="text" w:yAlign="inline"/>
        <w:bidi w:val="0"/>
        <w:spacing w:line="280" w:lineRule="atLeast"/>
        <w:ind w:left="0" w:right="0" w:firstLine="0"/>
        <w:jc w:val="left"/>
        <w:rPr>
          <w:rFonts w:hint="eastAsia" w:ascii="微软雅黑" w:hAnsi="微软雅黑" w:eastAsia="微软雅黑" w:cs="微软雅黑"/>
          <w:color w:val="333333"/>
          <w:sz w:val="18"/>
          <w:szCs w:val="18"/>
          <w:shd w:val="clear" w:color="auto" w:fill="FFFFFF"/>
          <w:rtl w:val="0"/>
        </w:rPr>
      </w:pPr>
    </w:p>
    <w:p>
      <w:pPr>
        <w:pStyle w:val="8"/>
        <w:framePr w:w="0" w:hRule="auto" w:wrap="auto" w:vAnchor="margin" w:hAnchor="text" w:yAlign="inline"/>
        <w:bidi w:val="0"/>
        <w:spacing w:line="400" w:lineRule="atLeast"/>
        <w:ind w:left="0" w:right="0" w:firstLine="0"/>
        <w:jc w:val="center"/>
        <w:rPr>
          <w:rFonts w:hint="eastAsia" w:ascii="微软雅黑" w:hAnsi="微软雅黑" w:eastAsia="微软雅黑" w:cs="微软雅黑"/>
          <w:color w:val="333333"/>
          <w:sz w:val="18"/>
          <w:szCs w:val="18"/>
          <w:shd w:val="clear" w:color="auto" w:fill="FFFFFF"/>
          <w:rtl w:val="0"/>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Northwestern University (NU) has 15 science research buildings on two campuses. Approximately $650 million in sponsored research activities take place in this space.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In 2016, the laboratory spaces consumed almost 118 million kWh of electricity, which, at a cost of 8 cents per kWh, amounts to close to $10 million. This is about half of the total NU electricity demand. A large part of this electricity demand comes from the laboratories</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"https://www.achrnews.com/topics/2697-ventilation"</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ventilation systems</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Ventilation in the science laboratories and vivaria serves four main objectives: safe breathing air for occupants; suitable temperature and humidity for research activities; dilution and transport of equipment heat loads; and spot exhaust for vented enclosures, including cage racks for animals and fume hoods or snorkels for chemistry.</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Ventilation systems designed for office buildings may recirculate most of the air and only supply a small percentage of fresh air, but architectural and building codes require that laboratory rooms and vivaria use only fresh outside air for ventilation. This design difference explains why laboratories require so much more energy to operate.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traditional laboratory design approach is to proactively ventilate all the time in anticipation of a chemical spill or release. This means exhausting the entire internal air volume of a typical laboratory into the atmosphere every 10 minutes.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NU prescribed air exchange rate for laboratories is 6.2 per hour; for vivarium,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15 per hour.</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Since spill incidents and unsafe releases occur only rarely, laboratories are over-ventilated about 99 percent of the time. In the rare case of a spill or release, no extra clearance ventilation is provided.</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NEW TECHNOLOGIES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 xml:space="preserve">In 2010, NU installed its first ventilation optimization system, supplied by Massachusetts-based Aircuity Inc., to monitor air quality related to use of a heat wheel </w:t>
      </w:r>
      <w:r>
        <w:rPr>
          <w:rFonts w:hint="eastAsia" w:ascii="微软雅黑" w:hAnsi="微软雅黑" w:eastAsia="微软雅黑" w:cs="微软雅黑"/>
          <w:sz w:val="18"/>
          <w:szCs w:val="18"/>
          <w:rtl w:val="0"/>
          <w:lang w:val="en-US"/>
        </w:rPr>
        <w:t xml:space="preserve">— </w:t>
      </w:r>
      <w:r>
        <w:rPr>
          <w:rFonts w:hint="eastAsia" w:ascii="微软雅黑" w:hAnsi="微软雅黑" w:eastAsia="微软雅黑" w:cs="微软雅黑"/>
          <w:sz w:val="18"/>
          <w:szCs w:val="18"/>
          <w:rtl w:val="0"/>
          <w:lang w:val="en-US"/>
        </w:rPr>
        <w:t>an energy recovery heat exchanger positioned within the supply and exhaust airstreams of the air-handling system.</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In 2011, NU committed more than $40 million as a part of the Northwestern Energy Retrofit Fund (NERF) to pay for gas and energy conservation projects across its two campuses. This commitment to energy efficiency has decreased the amount of electricity purchased from the grid by almost 5 percent, even as the square footage of occupied space has increased.</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Then, in 2012, a national energy services company implemented an energy conservation project for the Chicago campus research buildings: Demand control optimization systems were implemented on various lab floor remodels. In 2013, the NU Facilities Department began coordinating installations of the system at several Evanston campus science buildings, completing the installations in 2015 and 2016.</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 xml:space="preserve">The ventilation optimization system monitors laboratory air quality parameters of total volatile organic compounds (TVOCs) and particulates. Other laboratory and building control systems monitor occupancy via ceiling mounted occupancy sensors. The information collected dynamically controls ventilation rates. The intelligent system adjusts the volume of laboratory air exhausted and supplied within a specified range </w:t>
      </w:r>
      <w:r>
        <w:rPr>
          <w:rFonts w:hint="eastAsia" w:ascii="微软雅黑" w:hAnsi="微软雅黑" w:eastAsia="微软雅黑" w:cs="微软雅黑"/>
          <w:sz w:val="18"/>
          <w:szCs w:val="18"/>
          <w:rtl w:val="0"/>
          <w:lang w:val="en-US"/>
        </w:rPr>
        <w:t xml:space="preserve">— </w:t>
      </w:r>
      <w:r>
        <w:rPr>
          <w:rFonts w:hint="eastAsia" w:ascii="微软雅黑" w:hAnsi="微软雅黑" w:eastAsia="微软雅黑" w:cs="微软雅黑"/>
          <w:sz w:val="18"/>
          <w:szCs w:val="18"/>
          <w:rtl w:val="0"/>
          <w:lang w:val="en-US"/>
        </w:rPr>
        <w:t>usually between two and 12 air changes per hour. This dynamically controlled system provides the least amount of ventilation in an unoccupied lab and about twice the traditional ventilation rate in a detected-release event.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 xml:space="preserve">As of spring 2017, the Aircuity system had been installed in 130 laboratory rooms on the Evanston campus and 370 laboratory rooms on the Chicago campus. Each system includes a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sensor suite,</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built to accept a variety of sensors for multipoint sampling of the indoor environmental parameters. The sensor suite analyzes each air packet and sends smart signals to optimize ventilation. A total of 34 sensor suites were installed, with two more planned for a vivarium on the Evanston campus.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rPr>
        <w:t>TRANSPARENT COMMUNICATION</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Transparent communication with the laboratory users is important, since most of the sensors and control elements are hidden from view. Additional touchscreens were installed in laboratories to provide feedback on current ventilation settings. Researcher adherence to operational limits is considered to be more important in laboratories where the air change rates can be below four per hour.</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da-DK"/>
        </w:rPr>
        <w:t>CAPABILITIES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optimization system</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sensor suite capabilities to measure CO2 and dew point are most interesting in nonlaboratory applications.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For laboratory applications, the optical particle counter counts small particles (PM 2.5) in one range: 0.3 to 2.5 microns (</w:t>
      </w:r>
      <w:r>
        <w:rPr>
          <w:rFonts w:hint="eastAsia" w:ascii="微软雅黑" w:hAnsi="微软雅黑" w:eastAsia="微软雅黑" w:cs="微软雅黑"/>
          <w:sz w:val="18"/>
          <w:szCs w:val="18"/>
          <w:rtl w:val="0"/>
        </w:rPr>
        <w:t>μ</w:t>
      </w:r>
      <w:r>
        <w:rPr>
          <w:rFonts w:hint="eastAsia" w:ascii="微软雅黑" w:hAnsi="微软雅黑" w:eastAsia="微软雅黑" w:cs="微软雅黑"/>
          <w:sz w:val="18"/>
          <w:szCs w:val="18"/>
          <w:rtl w:val="0"/>
          <w:lang w:val="en-US"/>
        </w:rPr>
        <w:t>m). For vivarium applications, particles can be counted in two ranges: 0.3 to 0.5</w:t>
      </w:r>
      <w:r>
        <w:rPr>
          <w:rFonts w:hint="eastAsia" w:ascii="微软雅黑" w:hAnsi="微软雅黑" w:eastAsia="微软雅黑" w:cs="微软雅黑"/>
          <w:sz w:val="18"/>
          <w:szCs w:val="18"/>
          <w:rtl w:val="0"/>
        </w:rPr>
        <w:t>μ</w:t>
      </w:r>
      <w:r>
        <w:rPr>
          <w:rFonts w:hint="eastAsia" w:ascii="微软雅黑" w:hAnsi="微软雅黑" w:eastAsia="微软雅黑" w:cs="微软雅黑"/>
          <w:sz w:val="18"/>
          <w:szCs w:val="18"/>
          <w:rtl w:val="0"/>
          <w:lang w:val="en-US"/>
        </w:rPr>
        <w:t>m and 0.5 to 2.5</w:t>
      </w:r>
      <w:r>
        <w:rPr>
          <w:rFonts w:hint="eastAsia" w:ascii="微软雅黑" w:hAnsi="微软雅黑" w:eastAsia="微软雅黑" w:cs="微软雅黑"/>
          <w:sz w:val="18"/>
          <w:szCs w:val="18"/>
          <w:rtl w:val="0"/>
        </w:rPr>
        <w:t>μ</w:t>
      </w:r>
      <w:r>
        <w:rPr>
          <w:rFonts w:hint="eastAsia" w:ascii="微软雅黑" w:hAnsi="微软雅黑" w:eastAsia="微软雅黑" w:cs="微软雅黑"/>
          <w:sz w:val="18"/>
          <w:szCs w:val="18"/>
          <w:rtl w:val="0"/>
          <w:lang w:val="en-US"/>
        </w:rPr>
        <w:t>m. This feature can be useful to verify HEPA filter integrity on the supply side and efficiencies in clean space operations. The installed system commands the lab control system to dynamically increase the laboratory air changes above a particle count of 500,000 per cubic foot of air. This is accomplished by opening control valves in the ventilation ductwork of the affected space and may also affect the variable-frequency drive (VFD) controls of the ventilation fans. The system calls for the highest air change rate at and above 5,000,000 particles per cubic foot.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 xml:space="preserve">For laboratories, the most useful capability is the sensing of TVOC, either using a metal oxide semiconductor (MOS) or a photoionization detector (PID) calibrated to isobutylene. The PID can be calibrated to both ammonia and isobutylene. Once a sample air packet reaches the sensor suite, the response time is 30 seconds. The accuracy of the PID is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 xml:space="preserve">0.2 parts per million (ppm) or 2.5 percent of reading (whichever is greater). The resolution of the PID is 0.025 ppm. The drift stability of the PID is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2 ppm every six months at 5 ppm isobutylene. The maximum TVOC range is 100 ppm for the MOS and 20 ppm for the PID. According to the optimization system vendor, the MOS sensor provides complementary detection capabilities, as it will detect parameters (including but not limited to methanol, methane, nitromethane, and methylene chloride) that are either not sensed or only poorly sensed by the PID.</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ventilation optimization system commands the lab control system to dynamically increase the laboratory air changes above 0.1 ppm on the PID or 0.3 ppm on the MOS. It calls for the highest air change rate at and above 1 ppm on the PID and 3 ppm on the MOS.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de-DE"/>
        </w:rPr>
        <w:t>EXPOSURE CONTROL, SAFETY CONCERNS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optimization system cannot take on life safety tasks or be used in lieu of dedicated toxic, flammable, or oxygen-depleting gas alarm systems. The system should only be deployed in low-hazard laboratories. Maintaining a lab operational permit system with periodic checkups is advisable.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 xml:space="preserve">An air sampling pump sequentially delivers packets of air from each connected sensing tube to a centralized sensor suite. Depending on the array configuration, delay times up to the maximum allowed 15 minutes are possible. The PID used in the system uses a 10.6 eV bulb. Flammable gases or vapors with a higher ionization potential </w:t>
      </w:r>
      <w:r>
        <w:rPr>
          <w:rFonts w:hint="eastAsia" w:ascii="微软雅黑" w:hAnsi="微软雅黑" w:eastAsia="微软雅黑" w:cs="微软雅黑"/>
          <w:sz w:val="18"/>
          <w:szCs w:val="18"/>
          <w:rtl w:val="0"/>
          <w:lang w:val="en-US"/>
        </w:rPr>
        <w:t xml:space="preserve">— </w:t>
      </w:r>
      <w:r>
        <w:rPr>
          <w:rFonts w:hint="eastAsia" w:ascii="微软雅黑" w:hAnsi="微软雅黑" w:eastAsia="微软雅黑" w:cs="微软雅黑"/>
          <w:sz w:val="18"/>
          <w:szCs w:val="18"/>
          <w:rtl w:val="0"/>
          <w:lang w:val="en-US"/>
        </w:rPr>
        <w:t xml:space="preserve">for example, hydrogen </w:t>
      </w:r>
      <w:r>
        <w:rPr>
          <w:rFonts w:hint="eastAsia" w:ascii="微软雅黑" w:hAnsi="微软雅黑" w:eastAsia="微软雅黑" w:cs="微软雅黑"/>
          <w:sz w:val="18"/>
          <w:szCs w:val="18"/>
          <w:rtl w:val="0"/>
          <w:lang w:val="en-US"/>
        </w:rPr>
        <w:t xml:space="preserve">— </w:t>
      </w:r>
      <w:r>
        <w:rPr>
          <w:rFonts w:hint="eastAsia" w:ascii="微软雅黑" w:hAnsi="微软雅黑" w:eastAsia="微软雅黑" w:cs="微软雅黑"/>
          <w:sz w:val="18"/>
          <w:szCs w:val="18"/>
          <w:rtl w:val="0"/>
          <w:lang w:val="en-US"/>
        </w:rPr>
        <w:t>are invisible to the system.</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 laboratory operations permit system should set threshold limits to the use of oxygen-depleting agents. For example: The hazards from spillage, dispensing, or use of liquid nitrogen have to be considered.</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de-DE"/>
        </w:rPr>
        <w:t>ENERGY SAVINGS EVALUATION</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optimization system used at NU reduces the general laboratory exhaust and respective fresh air inflow, but it does not regulate fume hood exhausts. Laboratories in which the number of fume hoods demand high exhaust ventilation will not realize energy savings. In equipment rooms where the equipment heat loads demand high ventilation rates for cooling, there is nothing to gain from the system. However, future laboratory equipment design conversion from air to liquid heat exchange may lead to additional energy saving opportunities in these spaces.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Chemistry teaching labs have a large number of fume hoods, but they are limited in use. The best design practice may be to manually control all fume hoods using a master switch. Investment in an optimization system may have limited payback in these areas but could provide lab monitoring capabilities.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Since the system</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particulate sensor only monitors two particle size bins, it usually is not used to dynamically control ISO Class 1-6 cleanroom ventilation rates. Currently, NU is investigating the use of the particle sensing technology for ISO Class 7</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9 clean areas.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best payback may be achieved in vivarium animal spaces. Animal releases of VOC and particulate into the room will dynamically open ventilation valves for more fresh air. With directly ventilated cage racks, this release is not frequent. Significant energy savings can be expected when the ventilation rate can be kept well below the traditional 15 air changes per hour design for vivaria.</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Efforts to accurately quantify NU total laboratory energy savings are continuing. In addition, NU uses the data delivered through these ventilation optimization systems to diagnose air quality or temperature-related issues that may arise during laboratory operation.</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bookmarkStart w:id="0" w:name="_GoBack"/>
      <w:bookmarkEnd w:id="0"/>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From:</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"https://www.achrnews.com/articles/140644-controlling-ventilation-rates-at-university-research-laboratories"</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https://www.achrnews.com/articles/140644-controlling-ventilation-rates-at-university-research-laboratories</w:t>
      </w:r>
      <w:r>
        <w:rPr>
          <w:rFonts w:hint="eastAsia" w:ascii="微软雅黑" w:hAnsi="微软雅黑" w:eastAsia="微软雅黑" w:cs="微软雅黑"/>
          <w:sz w:val="18"/>
          <w:szCs w:val="18"/>
        </w:rPr>
        <w:fldChar w:fldCharType="end"/>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PT Serif">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1B1F64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小标题"/>
    <w:next w:val="7"/>
    <w:qFormat/>
    <w:uiPriority w:val="0"/>
    <w:pPr>
      <w:keepNext/>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7">
    <w:name w:val="正文1"/>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 w:type="paragraph" w:customStyle="1" w:styleId="8">
    <w:name w:val="默认"/>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Helvetica Neue" w:cs="Helvetica Neue"/>
      <w:color w:val="000000"/>
      <w:spacing w:val="0"/>
      <w:w w:val="100"/>
      <w:kern w:val="0"/>
      <w:position w:val="0"/>
      <w:sz w:val="22"/>
      <w:szCs w:val="22"/>
      <w:u w:val="none" w:color="auto"/>
      <w:vertAlign w:val="baseli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2019-05-15T07:03:44Z</dcterms:created>
  <dc:creator>EDZ</dc:creator>
  <cp:lastModifiedBy>和路雪。</cp:lastModifiedBy>
  <dcterms:modified xsi:type="dcterms:W3CDTF">2019-05-15T07:04:21Z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